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160" w:firstLine="720"/>
        <w:rPr>
          <w:rFonts w:ascii="Calibri" w:cs="Calibri" w:eastAsia="Calibri" w:hAnsi="Calibri"/>
          <w:sz w:val="34"/>
          <w:szCs w:val="34"/>
          <w:u w:val="single"/>
        </w:rPr>
      </w:pPr>
      <w:r w:rsidDel="00000000" w:rsidR="00000000" w:rsidRPr="00000000">
        <w:rPr>
          <w:rFonts w:ascii="Calibri" w:cs="Calibri" w:eastAsia="Calibri" w:hAnsi="Calibri"/>
          <w:sz w:val="34"/>
          <w:szCs w:val="34"/>
          <w:u w:val="single"/>
          <w:rtl w:val="0"/>
        </w:rPr>
        <w:t xml:space="preserve">EI/ECSE COGNITIVE TESTS</w:t>
      </w:r>
    </w:p>
    <w:p w:rsidR="00000000" w:rsidDel="00000000" w:rsidP="00000000" w:rsidRDefault="00000000" w:rsidRPr="00000000" w14:paraId="00000002">
      <w:pPr>
        <w:spacing w:after="0" w:line="240" w:lineRule="auto"/>
        <w:rPr>
          <w:rFonts w:ascii="Calibri" w:cs="Calibri" w:eastAsia="Calibri" w:hAnsi="Calibri"/>
          <w:color w:val="ff0000"/>
          <w:sz w:val="34"/>
          <w:szCs w:val="3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u w:val="single"/>
          <w:rtl w:val="0"/>
        </w:rPr>
        <w:t xml:space="preserve">(Preferred)-  Battelle Developmental Inventory, Third Edition (BDI-3) </w:t>
      </w:r>
      <w:r w:rsidDel="00000000" w:rsidR="00000000" w:rsidRPr="00000000">
        <w:rPr>
          <w:rFonts w:ascii="Calibri" w:cs="Calibri" w:eastAsia="Calibri" w:hAnsi="Calibri"/>
          <w:b w:val="1"/>
          <w:bCs w:val="1"/>
          <w:color w:val="222222"/>
          <w:sz w:val="32"/>
          <w:szCs w:val="32"/>
          <w:rtl w:val="0"/>
        </w:rPr>
        <w:t xml:space="preserve">birth to 7 years, 11 months</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WHY: It has the three sub areas under Cognitive to help break down skills in order to identify supportive needs. This has direct testing items, observation, and parent report/interview options to use as responses. It also has a Spanish and English edition. It is very play based, which is super helpful when assessing young children.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 Attention and Memory (birth to 7 years, 11 months)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Reasoning and Academic Skills (2 years to 7 years, 11 months)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Perception and Concepts (birth to 7 years, 11 months)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u w:val="single"/>
          <w:rtl w:val="0"/>
        </w:rPr>
        <w:t xml:space="preserve">(Preferred)-  Behavior Rating Inventory of Executive Functioning- Preschool (BRIEF-P) </w:t>
      </w:r>
      <w:r w:rsidDel="00000000" w:rsidR="00000000" w:rsidRPr="00000000">
        <w:rPr>
          <w:rFonts w:ascii="Calibri" w:cs="Calibri" w:eastAsia="Calibri" w:hAnsi="Calibri"/>
          <w:b w:val="1"/>
          <w:bCs w:val="1"/>
          <w:color w:val="222222"/>
          <w:sz w:val="32"/>
          <w:szCs w:val="32"/>
          <w:rtl w:val="0"/>
        </w:rPr>
        <w:t xml:space="preserve">ages 2-5</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WHY: Teacher and Parent rating scales for executive functioning skills. (This is a nice option if a team does not want to use an overall cognitive score for the problem solving/cognitive area or as an additional measure to understand where the young child may need additional specially designed instruction or accommodations.)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It has the sub areas of:</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Inhibit (the ability to stop or control behavior)</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Shift (the capacity to move flexibly from one activity or task to another)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Emotional Control (the ability to modulate emotional responses)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Working Memory (the ability to hold information in mind and use it to complete tasks)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Plan/Organize (the ability to foresee future events, set goals, and develop steps to achieve them)</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It has the composite areas of:</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Inhibitory Self-Control (how well a child can control actions, responses, and emotions)</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Flexibility Index (how well a child can adapt to changes in their behavior, responses, and environment)</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Emergent Metacognition (how well a child can initiate, plan, organize, and sustain problem solving)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6"/>
          <w:szCs w:val="26"/>
        </w:rPr>
      </w:pPr>
      <w:r w:rsidDel="00000000" w:rsidR="00000000" w:rsidRPr="00000000">
        <w:rPr>
          <w:rFonts w:ascii="Calibri" w:cs="Calibri" w:eastAsia="Calibri" w:hAnsi="Calibri"/>
          <w:b w:val="1"/>
          <w:bCs w:val="1"/>
          <w:color w:val="222222"/>
          <w:sz w:val="32"/>
          <w:szCs w:val="32"/>
          <w:rtl w:val="0"/>
        </w:rPr>
        <w:t xml:space="preserve">- Global Executive Composite (overall executive functioning skills observed compared to same aged peers)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u w:val="single"/>
          <w:rtl w:val="0"/>
        </w:rPr>
        <w:t xml:space="preserve">Developmental Assessment of Young Children, Second Edition (DAYC-2)</w:t>
      </w:r>
      <w:r w:rsidDel="00000000" w:rsidR="00000000" w:rsidRPr="00000000">
        <w:rPr>
          <w:rFonts w:ascii="Calibri" w:cs="Calibri" w:eastAsia="Calibri" w:hAnsi="Calibri"/>
          <w:b w:val="1"/>
          <w:bCs w:val="1"/>
          <w:color w:val="222222"/>
          <w:sz w:val="32"/>
          <w:szCs w:val="32"/>
          <w:rtl w:val="0"/>
        </w:rPr>
        <w:t xml:space="preserve"> birth through 5 years, 11 months</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rtl w:val="0"/>
        </w:rPr>
        <w:t xml:space="preserve">This is given with direct assessment, observation, and parent interview. </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u w:val="single"/>
          <w:rtl w:val="0"/>
        </w:rPr>
        <w:t xml:space="preserve">Cognitive Assessment of Young Children (CAYC)</w:t>
      </w:r>
      <w:r w:rsidDel="00000000" w:rsidR="00000000" w:rsidRPr="00000000">
        <w:rPr>
          <w:rFonts w:ascii="Calibri" w:cs="Calibri" w:eastAsia="Calibri" w:hAnsi="Calibri"/>
          <w:b w:val="1"/>
          <w:bCs w:val="1"/>
          <w:color w:val="222222"/>
          <w:sz w:val="32"/>
          <w:szCs w:val="32"/>
          <w:rtl w:val="0"/>
        </w:rPr>
        <w:t xml:space="preserve"> 2 months through 5 years, 11 months.</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rtl w:val="0"/>
        </w:rPr>
        <w:t xml:space="preserve">This is given with direct assessment, observation, and parent interview. (easy to send out to teachers in a digital format to collect pre-school based skills- would not recommend using only teacher's checklist as the only score) Developmental Profile, Fourth Edition (DP-4) birth to 21 years, 11 months</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rtl w:val="0"/>
        </w:rPr>
        <w:t xml:space="preserve">Parent Interview, Parent Checklist, and Teacher Checklist options. </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u w:val="single"/>
          <w:rtl w:val="0"/>
        </w:rPr>
        <w:t xml:space="preserve">Bayley, Fourth Edition (Bayley-4) 16 days to 42 months</w:t>
      </w:r>
      <w:r w:rsidDel="00000000" w:rsidR="00000000" w:rsidRPr="00000000">
        <w:rPr>
          <w:rFonts w:ascii="Calibri" w:cs="Calibri" w:eastAsia="Calibri" w:hAnsi="Calibri"/>
          <w:b w:val="1"/>
          <w:bCs w:val="1"/>
          <w:color w:val="333333"/>
          <w:sz w:val="32"/>
          <w:szCs w:val="32"/>
          <w:u w:val="single"/>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rtl w:val="0"/>
        </w:rPr>
        <w:t xml:space="preserve">One overall Cognitive score that has items which look at the following skills: visual preference, attention, memory, sensorimotor, exploration and manipulation, and concept formation. This is given with direct assessment, observation, and parent interview. The third edition of this assessment comes in Spanish. Play based/game-puzzle based.   </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u w:val="single"/>
          <w:rtl w:val="0"/>
        </w:rPr>
        <w:t xml:space="preserve">Differential Ability Scale, Second Edition (DAS-II) </w:t>
      </w:r>
      <w:r w:rsidDel="00000000" w:rsidR="00000000" w:rsidRPr="00000000">
        <w:rPr>
          <w:rFonts w:ascii="Calibri" w:cs="Calibri" w:eastAsia="Calibri" w:hAnsi="Calibri"/>
          <w:b w:val="1"/>
          <w:bCs w:val="1"/>
          <w:color w:val="222222"/>
          <w:sz w:val="32"/>
          <w:szCs w:val="32"/>
          <w:rtl w:val="0"/>
        </w:rPr>
        <w:t xml:space="preserve">2 years, 6 months to 17 years, 11 months or Early Years Spanish form 2 years, 6 months to 6 years, 11 months</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30"/>
          <w:szCs w:val="30"/>
        </w:rPr>
      </w:pPr>
      <w:r w:rsidDel="00000000" w:rsidR="00000000" w:rsidRPr="00000000">
        <w:rPr>
          <w:rFonts w:ascii="Calibri" w:cs="Calibri" w:eastAsia="Calibri" w:hAnsi="Calibri"/>
          <w:b w:val="1"/>
          <w:bCs w:val="1"/>
          <w:color w:val="222222"/>
          <w:sz w:val="32"/>
          <w:szCs w:val="32"/>
          <w:rtl w:val="0"/>
        </w:rPr>
        <w:t xml:space="preserve">Cognitive area is composed of: Verbal Reasoning, Nonverbal Reasoning, and Spatial Ability. There is an option to use this measure and focus on the non-verbal area if/when needed. Difficult to complete when a child is not engaged with materials. </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000000"/>
          <w:sz w:val="34"/>
          <w:szCs w:val="34"/>
          <w:u w:val="single"/>
          <w:rtl w:val="0"/>
        </w:rPr>
        <w:t xml:space="preserve">Wechsler Preschool and Primary Scale of Intelligence, Fourth Edition (WPPSI-IV) </w:t>
      </w:r>
      <w:r w:rsidDel="00000000" w:rsidR="00000000" w:rsidRPr="00000000">
        <w:rPr>
          <w:rFonts w:ascii="Calibri" w:cs="Calibri" w:eastAsia="Calibri" w:hAnsi="Calibri"/>
          <w:b w:val="1"/>
          <w:bCs w:val="1"/>
          <w:color w:val="000000"/>
          <w:sz w:val="34"/>
          <w:szCs w:val="34"/>
          <w:rtl w:val="0"/>
        </w:rPr>
        <w:t xml:space="preserve">2 years, 6 months to 7 years, 7 months</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000000"/>
          <w:sz w:val="34"/>
          <w:szCs w:val="34"/>
          <w:rtl w:val="0"/>
        </w:rPr>
        <w:t xml:space="preserve">Has an iPad component. Direct assessment. Not as many play-based toys within this assessment. </w:t>
      </w:r>
      <w:r w:rsidDel="00000000" w:rsidR="00000000" w:rsidRPr="00000000">
        <w:rPr>
          <w:rFonts w:ascii="Calibri" w:cs="Calibri" w:eastAsia="Calibri" w:hAnsi="Calibri"/>
          <w:b w:val="1"/>
          <w:bCs w:val="1"/>
          <w:color w:val="222222"/>
          <w:sz w:val="34"/>
          <w:szCs w:val="34"/>
          <w:rtl w:val="0"/>
        </w:rPr>
        <w:t xml:space="preserve">Difficult to complete when a child is not engaged with materials. </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000000"/>
          <w:sz w:val="34"/>
          <w:szCs w:val="34"/>
          <w:rtl w:val="0"/>
        </w:rPr>
        <w:t xml:space="preserve">Measures the cognitive skills of:</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000000"/>
          <w:sz w:val="34"/>
          <w:szCs w:val="34"/>
          <w:rtl w:val="0"/>
        </w:rPr>
        <w:t xml:space="preserve">- </w:t>
      </w:r>
      <w:r w:rsidDel="00000000" w:rsidR="00000000" w:rsidRPr="00000000">
        <w:rPr>
          <w:rFonts w:ascii="Calibri" w:cs="Calibri" w:eastAsia="Calibri" w:hAnsi="Calibri"/>
          <w:b w:val="1"/>
          <w:bCs w:val="1"/>
          <w:color w:val="001d35"/>
          <w:sz w:val="34"/>
          <w:szCs w:val="34"/>
          <w:rtl w:val="0"/>
        </w:rPr>
        <w:t xml:space="preserve">Verbal Comprehension (A child's ability to understand and use language)</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222222"/>
          <w:sz w:val="34"/>
          <w:szCs w:val="34"/>
          <w:rtl w:val="0"/>
        </w:rPr>
        <w:t xml:space="preserve">- Fluid Reasoning (</w:t>
      </w:r>
      <w:r w:rsidDel="00000000" w:rsidR="00000000" w:rsidRPr="00000000">
        <w:rPr>
          <w:rFonts w:ascii="Calibri" w:cs="Calibri" w:eastAsia="Calibri" w:hAnsi="Calibri"/>
          <w:b w:val="1"/>
          <w:bCs w:val="1"/>
          <w:color w:val="001d35"/>
          <w:sz w:val="34"/>
          <w:szCs w:val="34"/>
          <w:rtl w:val="0"/>
        </w:rPr>
        <w:t xml:space="preserve">The ability to solve new problems and think logically)</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222222"/>
          <w:sz w:val="34"/>
          <w:szCs w:val="34"/>
          <w:rtl w:val="0"/>
        </w:rPr>
        <w:t xml:space="preserve">- Visual-Spatial Processing (</w:t>
      </w:r>
      <w:r w:rsidDel="00000000" w:rsidR="00000000" w:rsidRPr="00000000">
        <w:rPr>
          <w:rFonts w:ascii="Calibri" w:cs="Calibri" w:eastAsia="Calibri" w:hAnsi="Calibri"/>
          <w:b w:val="1"/>
          <w:bCs w:val="1"/>
          <w:color w:val="001d35"/>
          <w:sz w:val="34"/>
          <w:szCs w:val="34"/>
          <w:rtl w:val="0"/>
        </w:rPr>
        <w:t xml:space="preserve">The capacity to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001d35"/>
          <w:sz w:val="34"/>
          <w:szCs w:val="34"/>
          <w:rtl w:val="0"/>
        </w:rPr>
        <w:t xml:space="preserve">understand and organize visual information)</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222222"/>
          <w:sz w:val="34"/>
          <w:szCs w:val="34"/>
          <w:rtl w:val="0"/>
        </w:rPr>
        <w:t xml:space="preserve">- Working Memory (</w:t>
      </w:r>
      <w:r w:rsidDel="00000000" w:rsidR="00000000" w:rsidRPr="00000000">
        <w:rPr>
          <w:rFonts w:ascii="Calibri" w:cs="Calibri" w:eastAsia="Calibri" w:hAnsi="Calibri"/>
          <w:b w:val="1"/>
          <w:bCs w:val="1"/>
          <w:color w:val="001d35"/>
          <w:sz w:val="34"/>
          <w:szCs w:val="34"/>
          <w:rtl w:val="0"/>
        </w:rPr>
        <w:t xml:space="preserve">The ability to hold and manipulate information in the mind)</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222222"/>
          <w:sz w:val="34"/>
          <w:szCs w:val="34"/>
          <w:rtl w:val="0"/>
        </w:rPr>
        <w:t xml:space="preserve">- Processing Speed (</w:t>
      </w:r>
      <w:r w:rsidDel="00000000" w:rsidR="00000000" w:rsidRPr="00000000">
        <w:rPr>
          <w:rFonts w:ascii="Calibri" w:cs="Calibri" w:eastAsia="Calibri" w:hAnsi="Calibri"/>
          <w:b w:val="1"/>
          <w:bCs w:val="1"/>
          <w:color w:val="001d35"/>
          <w:sz w:val="34"/>
          <w:szCs w:val="34"/>
          <w:rtl w:val="0"/>
        </w:rPr>
        <w:t xml:space="preserve">How quickly and accurately a child can complete simple tasks)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32"/>
          <w:szCs w:val="32"/>
        </w:rPr>
      </w:pPr>
      <w:r w:rsidDel="00000000" w:rsidR="00000000" w:rsidRPr="00000000">
        <w:rPr>
          <w:rFonts w:ascii="Calibri" w:cs="Calibri" w:eastAsia="Calibri" w:hAnsi="Calibri"/>
          <w:b w:val="1"/>
          <w:bCs w:val="1"/>
          <w:color w:val="222222"/>
          <w:sz w:val="34"/>
          <w:szCs w:val="34"/>
          <w:rtl w:val="0"/>
        </w:rPr>
        <w:t xml:space="preserve">Another executive functioning scale that also looks at internalizing/ externalizing behaviors: </w:t>
      </w:r>
      <w:r w:rsidDel="00000000" w:rsidR="00000000" w:rsidRPr="00000000">
        <w:rPr>
          <w:rFonts w:ascii="Calibri" w:cs="Calibri" w:eastAsia="Calibri" w:hAnsi="Calibri"/>
          <w:b w:val="1"/>
          <w:bCs w:val="1"/>
          <w:color w:val="000000"/>
          <w:sz w:val="34"/>
          <w:szCs w:val="34"/>
          <w:rtl w:val="0"/>
        </w:rPr>
        <w:t xml:space="preserve">Behavior Assessment System for Children, Third Edition (BASC-3) 2 years to 21 years, 11 months</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D6C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D6C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D6C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D6CB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D6CB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D6CB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D6CB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D6CB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D6C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D6C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D6C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D6CB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D6CB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D6C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D6C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D6CB4"/>
    <w:rPr>
      <w:i w:val="1"/>
      <w:iCs w:val="1"/>
      <w:color w:val="404040" w:themeColor="text1" w:themeTint="0000BF"/>
    </w:rPr>
  </w:style>
  <w:style w:type="paragraph" w:styleId="ListParagraph">
    <w:name w:val="List Paragraph"/>
    <w:basedOn w:val="Normal"/>
    <w:uiPriority w:val="34"/>
    <w:qFormat w:val="1"/>
    <w:rsid w:val="008D6CB4"/>
    <w:pPr>
      <w:ind w:left="720"/>
      <w:contextualSpacing w:val="1"/>
    </w:pPr>
  </w:style>
  <w:style w:type="character" w:styleId="IntenseEmphasis">
    <w:name w:val="Intense Emphasis"/>
    <w:basedOn w:val="DefaultParagraphFont"/>
    <w:uiPriority w:val="21"/>
    <w:qFormat w:val="1"/>
    <w:rsid w:val="008D6CB4"/>
    <w:rPr>
      <w:i w:val="1"/>
      <w:iCs w:val="1"/>
      <w:color w:val="0f4761" w:themeColor="accent1" w:themeShade="0000BF"/>
    </w:rPr>
  </w:style>
  <w:style w:type="paragraph" w:styleId="IntenseQuote">
    <w:name w:val="Intense Quote"/>
    <w:basedOn w:val="Normal"/>
    <w:next w:val="Normal"/>
    <w:link w:val="IntenseQuoteChar"/>
    <w:uiPriority w:val="30"/>
    <w:qFormat w:val="1"/>
    <w:rsid w:val="008D6C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D6CB4"/>
    <w:rPr>
      <w:i w:val="1"/>
      <w:iCs w:val="1"/>
      <w:color w:val="0f4761" w:themeColor="accent1" w:themeShade="0000BF"/>
    </w:rPr>
  </w:style>
  <w:style w:type="character" w:styleId="IntenseReference">
    <w:name w:val="Intense Reference"/>
    <w:basedOn w:val="DefaultParagraphFont"/>
    <w:uiPriority w:val="32"/>
    <w:qFormat w:val="1"/>
    <w:rsid w:val="008D6CB4"/>
    <w:rPr>
      <w:b w:val="1"/>
      <w:bCs w:val="1"/>
      <w:smallCaps w:val="1"/>
      <w:color w:val="0f4761" w:themeColor="accent1" w:themeShade="0000BF"/>
      <w:spacing w:val="5"/>
    </w:rPr>
  </w:style>
  <w:style w:type="paragraph" w:styleId="NormalWeb">
    <w:name w:val="Normal (Web)"/>
    <w:basedOn w:val="Normal"/>
    <w:uiPriority w:val="99"/>
    <w:semiHidden w:val="1"/>
    <w:unhideWhenUsed w:val="1"/>
    <w:rsid w:val="008D6CB4"/>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WulLnuD7fz87LbRMuA7aWj3Fg==">CgMxLjA4AHIhMTdReWdmcF9OZ0haUnROOEYxbURtbEMwMmVmMkRrTFU4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2025-12-15T18:37:00Z</dcterms:created>
  <dc:creator>Melaney Grenz</dc:creator>
</cp:coreProperties>
</file>